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0DBF7" w14:textId="77777777" w:rsidR="003E3B7C" w:rsidRPr="003E3B7C" w:rsidRDefault="003E3B7C" w:rsidP="003E3B7C">
      <w:pPr>
        <w:ind w:left="1134" w:right="1020"/>
        <w:jc w:val="both"/>
        <w:rPr>
          <w:rFonts w:eastAsia="Courier New"/>
          <w:b/>
          <w:i/>
          <w:sz w:val="22"/>
          <w:szCs w:val="22"/>
        </w:rPr>
      </w:pPr>
      <w:r w:rsidRPr="003E3B7C">
        <w:rPr>
          <w:rFonts w:eastAsia="Courier New"/>
          <w:b/>
          <w:i/>
          <w:sz w:val="22"/>
          <w:szCs w:val="22"/>
          <w:u w:val="single"/>
        </w:rPr>
        <w:t>NOTA BENE</w:t>
      </w:r>
      <w:r w:rsidRPr="003E3B7C">
        <w:rPr>
          <w:rFonts w:eastAsia="Courier New"/>
          <w:b/>
          <w:i/>
          <w:sz w:val="22"/>
          <w:szCs w:val="22"/>
        </w:rPr>
        <w:t xml:space="preserve">: </w:t>
      </w:r>
      <w:r w:rsidRPr="003E3B7C">
        <w:rPr>
          <w:rFonts w:eastAsia="Courier New"/>
          <w:b/>
          <w:i/>
          <w:sz w:val="22"/>
          <w:szCs w:val="22"/>
          <w:u w:val="single"/>
        </w:rPr>
        <w:t>il presente documento è semplicemente un FAC SIMILE</w:t>
      </w:r>
      <w:r w:rsidRPr="003E3B7C">
        <w:rPr>
          <w:rFonts w:eastAsia="Courier New"/>
          <w:b/>
          <w:i/>
          <w:sz w:val="22"/>
          <w:szCs w:val="22"/>
        </w:rPr>
        <w:t>, un esempio tra le diverse alternative possibili. Per questo non è da intendersi come obbligatorio, esaustivo o vincolante, ma può essere utilizzato come modello da riadattare in base alle esigenze specifiche. Questo perché una delle peculiarità positive delle Comunità Energetiche è che ciascuna può organizzarsi al proprio interno come meglio ritiene.</w:t>
      </w:r>
    </w:p>
    <w:p w14:paraId="26733A85" w14:textId="77777777" w:rsidR="003E3B7C" w:rsidRPr="003E3B7C" w:rsidRDefault="003E3B7C" w:rsidP="003E3B7C">
      <w:pPr>
        <w:jc w:val="center"/>
        <w:rPr>
          <w:rFonts w:eastAsia="Courier New"/>
          <w:b/>
          <w:sz w:val="22"/>
          <w:szCs w:val="22"/>
        </w:rPr>
      </w:pPr>
    </w:p>
    <w:p w14:paraId="2D98C51A" w14:textId="77777777" w:rsidR="003E3B7C" w:rsidRPr="003E3B7C" w:rsidRDefault="003E3B7C" w:rsidP="003E3B7C">
      <w:pPr>
        <w:jc w:val="center"/>
        <w:rPr>
          <w:rFonts w:eastAsia="Courier New"/>
          <w:b/>
          <w:sz w:val="22"/>
          <w:szCs w:val="22"/>
        </w:rPr>
      </w:pPr>
    </w:p>
    <w:p w14:paraId="58CE468B" w14:textId="77777777" w:rsidR="003E3B7C" w:rsidRPr="003E3B7C" w:rsidRDefault="003E3B7C" w:rsidP="003E3B7C">
      <w:pPr>
        <w:jc w:val="center"/>
        <w:rPr>
          <w:rFonts w:eastAsia="Courier New"/>
          <w:b/>
          <w:sz w:val="22"/>
          <w:szCs w:val="22"/>
        </w:rPr>
      </w:pPr>
    </w:p>
    <w:p w14:paraId="00000003" w14:textId="2A55BB71" w:rsidR="00FD74C4" w:rsidRDefault="003E3B7C" w:rsidP="003E3B7C">
      <w:pPr>
        <w:jc w:val="center"/>
        <w:rPr>
          <w:b/>
          <w:color w:val="000000"/>
          <w:sz w:val="22"/>
          <w:szCs w:val="22"/>
        </w:rPr>
      </w:pPr>
      <w:bookmarkStart w:id="0" w:name="_GoBack"/>
      <w:r w:rsidRPr="001021A2">
        <w:rPr>
          <w:rFonts w:eastAsia="Courier New"/>
          <w:b/>
          <w:sz w:val="22"/>
          <w:szCs w:val="22"/>
          <w:u w:val="single"/>
        </w:rPr>
        <w:t>FAC SIMILE</w:t>
      </w:r>
      <w:r w:rsidRPr="003E3B7C">
        <w:rPr>
          <w:rFonts w:eastAsia="Courier New"/>
          <w:b/>
          <w:sz w:val="22"/>
          <w:szCs w:val="22"/>
        </w:rPr>
        <w:t xml:space="preserve"> </w:t>
      </w:r>
      <w:bookmarkEnd w:id="0"/>
      <w:r w:rsidRPr="003E3B7C">
        <w:rPr>
          <w:b/>
          <w:color w:val="000000"/>
          <w:sz w:val="22"/>
          <w:szCs w:val="22"/>
        </w:rPr>
        <w:t>REGOLAMENTO SULLA RIPARTIZIONE DEGLI IMPORTI DERIVANTI DALLA CONDIVISIONE DELL’ENERGIA DELLA COMUNITÀ DI ENERGIA RINNOVABILE</w:t>
      </w:r>
    </w:p>
    <w:p w14:paraId="3604999F" w14:textId="6A11B776" w:rsidR="003E3B7C" w:rsidRDefault="003E3B7C" w:rsidP="003E3B7C">
      <w:pPr>
        <w:jc w:val="center"/>
        <w:rPr>
          <w:rFonts w:eastAsia="Courier New"/>
          <w:b/>
          <w:sz w:val="22"/>
          <w:szCs w:val="22"/>
        </w:rPr>
      </w:pPr>
    </w:p>
    <w:p w14:paraId="44B81FA8" w14:textId="77777777" w:rsidR="005B4466" w:rsidRPr="003E3B7C" w:rsidRDefault="005B4466" w:rsidP="003E3B7C">
      <w:pPr>
        <w:jc w:val="center"/>
        <w:rPr>
          <w:rFonts w:eastAsia="Courier New"/>
          <w:b/>
          <w:sz w:val="22"/>
          <w:szCs w:val="22"/>
        </w:rPr>
      </w:pPr>
    </w:p>
    <w:p w14:paraId="00000004" w14:textId="3E5B79FE" w:rsidR="00FD74C4" w:rsidRDefault="001021A2" w:rsidP="003E3B7C">
      <w:pPr>
        <w:widowControl w:val="0"/>
        <w:pBdr>
          <w:top w:val="nil"/>
          <w:left w:val="nil"/>
          <w:bottom w:val="nil"/>
          <w:right w:val="nil"/>
          <w:between w:val="nil"/>
        </w:pBdr>
        <w:jc w:val="center"/>
        <w:rPr>
          <w:b/>
          <w:color w:val="000000"/>
          <w:sz w:val="22"/>
          <w:szCs w:val="22"/>
        </w:rPr>
      </w:pPr>
      <w:r w:rsidRPr="003E3B7C">
        <w:rPr>
          <w:b/>
          <w:color w:val="000000"/>
          <w:sz w:val="22"/>
          <w:szCs w:val="22"/>
        </w:rPr>
        <w:t>Articolo 1</w:t>
      </w:r>
    </w:p>
    <w:p w14:paraId="5663D825" w14:textId="77777777" w:rsidR="005B4466" w:rsidRPr="005B4466" w:rsidRDefault="005B4466" w:rsidP="003E3B7C">
      <w:pPr>
        <w:widowControl w:val="0"/>
        <w:pBdr>
          <w:top w:val="nil"/>
          <w:left w:val="nil"/>
          <w:bottom w:val="nil"/>
          <w:right w:val="nil"/>
          <w:between w:val="nil"/>
        </w:pBdr>
        <w:jc w:val="center"/>
        <w:rPr>
          <w:color w:val="000000"/>
          <w:sz w:val="22"/>
          <w:szCs w:val="22"/>
        </w:rPr>
      </w:pPr>
    </w:p>
    <w:p w14:paraId="00000005" w14:textId="5E05ABCF" w:rsidR="00FD74C4" w:rsidRPr="003E3B7C" w:rsidRDefault="001021A2" w:rsidP="005B4466">
      <w:pPr>
        <w:widowControl w:val="0"/>
        <w:pBdr>
          <w:top w:val="nil"/>
          <w:left w:val="nil"/>
          <w:bottom w:val="nil"/>
          <w:right w:val="nil"/>
          <w:between w:val="nil"/>
        </w:pBdr>
        <w:jc w:val="both"/>
        <w:rPr>
          <w:sz w:val="22"/>
          <w:szCs w:val="22"/>
        </w:rPr>
      </w:pPr>
      <w:r w:rsidRPr="003E3B7C">
        <w:rPr>
          <w:color w:val="000000"/>
          <w:sz w:val="22"/>
          <w:szCs w:val="22"/>
        </w:rPr>
        <w:t>In esecuzione dello Statuto Sociale, è approvato il regolamento riguardante</w:t>
      </w:r>
      <w:r w:rsidRPr="003E3B7C">
        <w:rPr>
          <w:color w:val="000000"/>
          <w:sz w:val="22"/>
          <w:szCs w:val="22"/>
        </w:rPr>
        <w:t xml:space="preserve"> la destinazione e l’utilizzo degli importi derivanti dalla condivisione dell’energia e dalla eventuale cessione delle eccedenze (gli “</w:t>
      </w:r>
      <w:bookmarkStart w:id="1" w:name="gjdgxs" w:colFirst="0" w:colLast="0"/>
      <w:bookmarkEnd w:id="1"/>
      <w:r w:rsidRPr="003E3B7C">
        <w:rPr>
          <w:b/>
          <w:color w:val="000000"/>
          <w:sz w:val="22"/>
          <w:szCs w:val="22"/>
        </w:rPr>
        <w:t>Importi Derivanti dalla Condivisione dell’Energia</w:t>
      </w:r>
      <w:r w:rsidR="005B4466">
        <w:rPr>
          <w:color w:val="000000"/>
          <w:sz w:val="22"/>
          <w:szCs w:val="22"/>
        </w:rPr>
        <w:t>”) costituiti da:</w:t>
      </w:r>
    </w:p>
    <w:p w14:paraId="00000006" w14:textId="07C83FC8" w:rsidR="00FD74C4" w:rsidRPr="005B4466" w:rsidRDefault="001021A2" w:rsidP="007947DB">
      <w:pPr>
        <w:pStyle w:val="Paragrafoelenco"/>
        <w:widowControl w:val="0"/>
        <w:numPr>
          <w:ilvl w:val="0"/>
          <w:numId w:val="10"/>
        </w:numPr>
        <w:pBdr>
          <w:top w:val="nil"/>
          <w:left w:val="nil"/>
          <w:bottom w:val="nil"/>
          <w:right w:val="nil"/>
          <w:between w:val="nil"/>
        </w:pBdr>
        <w:jc w:val="both"/>
        <w:rPr>
          <w:sz w:val="22"/>
          <w:szCs w:val="22"/>
        </w:rPr>
      </w:pPr>
      <w:r w:rsidRPr="005B4466">
        <w:rPr>
          <w:color w:val="000000"/>
          <w:sz w:val="22"/>
          <w:szCs w:val="22"/>
        </w:rPr>
        <w:t>le tariffe incentivanti riconosciute ai sensi dell’ar</w:t>
      </w:r>
      <w:r w:rsidRPr="005B4466">
        <w:rPr>
          <w:color w:val="000000"/>
          <w:sz w:val="22"/>
          <w:szCs w:val="22"/>
        </w:rPr>
        <w:t>t. 42 bis, comma 9, DL 162/2019 e del DM MISE 15.09.2020 all’energia prodotta dagli impianti a fonti rinnovabili (le “</w:t>
      </w:r>
      <w:r w:rsidRPr="005B4466">
        <w:rPr>
          <w:b/>
          <w:color w:val="000000"/>
          <w:sz w:val="22"/>
          <w:szCs w:val="22"/>
        </w:rPr>
        <w:t>Tariffe Incentivanti</w:t>
      </w:r>
      <w:r w:rsidRPr="005B4466">
        <w:rPr>
          <w:color w:val="000000"/>
          <w:sz w:val="22"/>
          <w:szCs w:val="22"/>
        </w:rPr>
        <w:t>”) detenuti dalla Comunità di Energia Rinnovabile (la “</w:t>
      </w:r>
      <w:r w:rsidRPr="005B4466">
        <w:rPr>
          <w:b/>
          <w:color w:val="000000"/>
          <w:sz w:val="22"/>
          <w:szCs w:val="22"/>
        </w:rPr>
        <w:t>Comunità</w:t>
      </w:r>
      <w:r w:rsidRPr="005B4466">
        <w:rPr>
          <w:color w:val="000000"/>
          <w:sz w:val="22"/>
          <w:szCs w:val="22"/>
        </w:rPr>
        <w:t xml:space="preserve">”) e gestiti dalla Comunità medesima o da un suo socio </w:t>
      </w:r>
      <w:r w:rsidRPr="005B4466">
        <w:rPr>
          <w:color w:val="000000"/>
          <w:sz w:val="22"/>
          <w:szCs w:val="22"/>
        </w:rPr>
        <w:t xml:space="preserve">o da un produttore terzo ai sensi dell’art. 3.2, </w:t>
      </w:r>
      <w:proofErr w:type="spellStart"/>
      <w:r w:rsidRPr="005B4466">
        <w:rPr>
          <w:color w:val="000000"/>
          <w:sz w:val="22"/>
          <w:szCs w:val="22"/>
        </w:rPr>
        <w:t>lett</w:t>
      </w:r>
      <w:proofErr w:type="spellEnd"/>
      <w:r w:rsidRPr="005B4466">
        <w:rPr>
          <w:color w:val="000000"/>
          <w:sz w:val="22"/>
          <w:szCs w:val="22"/>
        </w:rPr>
        <w:t xml:space="preserve">. D) dell’Allegato A alla Delibera n. 318/2020 dell’Autorità </w:t>
      </w:r>
      <w:r w:rsidR="005B4466">
        <w:rPr>
          <w:color w:val="000000"/>
          <w:sz w:val="22"/>
          <w:szCs w:val="22"/>
        </w:rPr>
        <w:t>di Regolazione Reti e Ambiente;</w:t>
      </w:r>
    </w:p>
    <w:p w14:paraId="00000007" w14:textId="3611555B" w:rsidR="00FD74C4" w:rsidRPr="005B4466" w:rsidRDefault="001021A2" w:rsidP="007947DB">
      <w:pPr>
        <w:pStyle w:val="Paragrafoelenco"/>
        <w:widowControl w:val="0"/>
        <w:numPr>
          <w:ilvl w:val="0"/>
          <w:numId w:val="10"/>
        </w:numPr>
        <w:pBdr>
          <w:top w:val="nil"/>
          <w:left w:val="nil"/>
          <w:bottom w:val="nil"/>
          <w:right w:val="nil"/>
          <w:between w:val="nil"/>
        </w:pBdr>
        <w:jc w:val="both"/>
        <w:rPr>
          <w:sz w:val="22"/>
          <w:szCs w:val="22"/>
        </w:rPr>
      </w:pPr>
      <w:r w:rsidRPr="005B4466">
        <w:rPr>
          <w:color w:val="000000"/>
          <w:sz w:val="22"/>
          <w:szCs w:val="22"/>
        </w:rPr>
        <w:t>le componenti tariffarie restituite ai sensi dell’art. 42 bis, comma 8, DL 162/2019 all’energia prodotta dagl</w:t>
      </w:r>
      <w:r w:rsidRPr="005B4466">
        <w:rPr>
          <w:color w:val="000000"/>
          <w:sz w:val="22"/>
          <w:szCs w:val="22"/>
        </w:rPr>
        <w:t>i impianti a fonti rinnovabili (il “</w:t>
      </w:r>
      <w:r w:rsidRPr="005B4466">
        <w:rPr>
          <w:b/>
          <w:color w:val="000000"/>
          <w:sz w:val="22"/>
          <w:szCs w:val="22"/>
        </w:rPr>
        <w:t>Contributo per la valorizzazione dell’energia elettrica condivisa</w:t>
      </w:r>
      <w:r w:rsidRPr="005B4466">
        <w:rPr>
          <w:color w:val="000000"/>
          <w:sz w:val="22"/>
          <w:szCs w:val="22"/>
        </w:rPr>
        <w:t>”) determinate ai sensi dell’art. 7.4 dell’Allegato A alla Delibera n. 318/2020 dell’Autorità</w:t>
      </w:r>
      <w:r w:rsidR="005B4466">
        <w:rPr>
          <w:color w:val="000000"/>
          <w:sz w:val="22"/>
          <w:szCs w:val="22"/>
        </w:rPr>
        <w:t xml:space="preserve"> di Regolazione Reti e Ambiente;</w:t>
      </w:r>
    </w:p>
    <w:p w14:paraId="00000008" w14:textId="567DAF4E" w:rsidR="00FD74C4" w:rsidRPr="005B4466" w:rsidRDefault="005B4466" w:rsidP="007947DB">
      <w:pPr>
        <w:pStyle w:val="Paragrafoelenco"/>
        <w:widowControl w:val="0"/>
        <w:numPr>
          <w:ilvl w:val="0"/>
          <w:numId w:val="10"/>
        </w:numPr>
        <w:pBdr>
          <w:top w:val="nil"/>
          <w:left w:val="nil"/>
          <w:bottom w:val="nil"/>
          <w:right w:val="nil"/>
          <w:between w:val="nil"/>
        </w:pBdr>
        <w:jc w:val="both"/>
        <w:rPr>
          <w:sz w:val="22"/>
          <w:szCs w:val="22"/>
        </w:rPr>
      </w:pPr>
      <w:r>
        <w:rPr>
          <w:color w:val="000000"/>
          <w:sz w:val="22"/>
          <w:szCs w:val="22"/>
        </w:rPr>
        <w:t>i</w:t>
      </w:r>
      <w:r w:rsidR="001021A2" w:rsidRPr="005B4466">
        <w:rPr>
          <w:color w:val="000000"/>
          <w:sz w:val="22"/>
          <w:szCs w:val="22"/>
        </w:rPr>
        <w:t xml:space="preserve"> ricavi derivanti dalla vend</w:t>
      </w:r>
      <w:r w:rsidR="001021A2" w:rsidRPr="005B4466">
        <w:rPr>
          <w:color w:val="000000"/>
          <w:sz w:val="22"/>
          <w:szCs w:val="22"/>
        </w:rPr>
        <w:t xml:space="preserve">ita dell’energia elettrica prodotta dagli impianti detenuti dalla Comunità e gestiti dalla stessa quale produttore secondo quanto previsto dall’art. 1.1, </w:t>
      </w:r>
      <w:proofErr w:type="spellStart"/>
      <w:r w:rsidR="001021A2" w:rsidRPr="005B4466">
        <w:rPr>
          <w:color w:val="000000"/>
          <w:sz w:val="22"/>
          <w:szCs w:val="22"/>
        </w:rPr>
        <w:t>lett</w:t>
      </w:r>
      <w:proofErr w:type="spellEnd"/>
      <w:r w:rsidR="001021A2" w:rsidRPr="005B4466">
        <w:rPr>
          <w:color w:val="000000"/>
          <w:sz w:val="22"/>
          <w:szCs w:val="22"/>
        </w:rPr>
        <w:t>. S) dell’Allegato A alla Delibera n. 318/2020 dell’Autorità di Regolazione Reti e Ambiente.</w:t>
      </w:r>
    </w:p>
    <w:p w14:paraId="00000009" w14:textId="77777777" w:rsidR="00FD74C4" w:rsidRPr="003E3B7C" w:rsidRDefault="001021A2" w:rsidP="005B4466">
      <w:pPr>
        <w:widowControl w:val="0"/>
        <w:pBdr>
          <w:top w:val="nil"/>
          <w:left w:val="nil"/>
          <w:bottom w:val="nil"/>
          <w:right w:val="nil"/>
          <w:between w:val="nil"/>
        </w:pBdr>
        <w:jc w:val="both"/>
        <w:rPr>
          <w:sz w:val="22"/>
          <w:szCs w:val="22"/>
        </w:rPr>
      </w:pPr>
      <w:r w:rsidRPr="003E3B7C">
        <w:rPr>
          <w:color w:val="000000"/>
          <w:sz w:val="22"/>
          <w:szCs w:val="22"/>
        </w:rPr>
        <w:t>L</w:t>
      </w:r>
      <w:r w:rsidRPr="003E3B7C">
        <w:rPr>
          <w:color w:val="000000"/>
          <w:sz w:val="22"/>
          <w:szCs w:val="22"/>
        </w:rPr>
        <w:t>a Co</w:t>
      </w:r>
      <w:r w:rsidRPr="003E3B7C">
        <w:rPr>
          <w:color w:val="000000"/>
          <w:sz w:val="22"/>
          <w:szCs w:val="22"/>
        </w:rPr>
        <w:t xml:space="preserve">munità potrà detenere, per i fini di cui all’art. 42 bis, DL 162/2019, ai sensi dell’art. 3.2, </w:t>
      </w:r>
      <w:proofErr w:type="spellStart"/>
      <w:r w:rsidRPr="003E3B7C">
        <w:rPr>
          <w:color w:val="000000"/>
          <w:sz w:val="22"/>
          <w:szCs w:val="22"/>
        </w:rPr>
        <w:t>lett</w:t>
      </w:r>
      <w:proofErr w:type="spellEnd"/>
      <w:r w:rsidRPr="003E3B7C">
        <w:rPr>
          <w:color w:val="000000"/>
          <w:sz w:val="22"/>
          <w:szCs w:val="22"/>
        </w:rPr>
        <w:t>. D) dell’Allegato A alla Delibera n. 318/2020 dell’Autorità di Regolazione Reti e Ambiente, impianti di Soci della Comunità ovvero, ove consentito, di terzi</w:t>
      </w:r>
      <w:r w:rsidRPr="003E3B7C">
        <w:rPr>
          <w:color w:val="000000"/>
          <w:sz w:val="22"/>
          <w:szCs w:val="22"/>
        </w:rPr>
        <w:t xml:space="preserve"> a condizione che questi ultimi sottoscrivano il presente Regolamento per accettazione. </w:t>
      </w:r>
    </w:p>
    <w:p w14:paraId="0000000A" w14:textId="0F83A242" w:rsidR="00FD74C4" w:rsidRPr="003E3B7C" w:rsidRDefault="001021A2" w:rsidP="005B4466">
      <w:pPr>
        <w:widowControl w:val="0"/>
        <w:pBdr>
          <w:top w:val="nil"/>
          <w:left w:val="nil"/>
          <w:bottom w:val="nil"/>
          <w:right w:val="nil"/>
          <w:between w:val="nil"/>
        </w:pBdr>
        <w:jc w:val="both"/>
        <w:rPr>
          <w:sz w:val="22"/>
          <w:szCs w:val="22"/>
        </w:rPr>
      </w:pPr>
      <w:r w:rsidRPr="003E3B7C">
        <w:rPr>
          <w:color w:val="000000"/>
          <w:sz w:val="22"/>
          <w:szCs w:val="22"/>
        </w:rPr>
        <w:t>La Comunità è mand</w:t>
      </w:r>
      <w:r w:rsidR="005B4466">
        <w:rPr>
          <w:color w:val="000000"/>
          <w:sz w:val="22"/>
          <w:szCs w:val="22"/>
        </w:rPr>
        <w:t>ataria di tutti i soci per la</w:t>
      </w:r>
      <w:r w:rsidRPr="003E3B7C">
        <w:rPr>
          <w:color w:val="000000"/>
          <w:sz w:val="22"/>
          <w:szCs w:val="22"/>
        </w:rPr>
        <w:t xml:space="preserve"> richiesta di accesso alla valorizzazione e incentivazione dell’energia elettrica condivisa secondo quanto previsto dall’art. 3.2 dell’Allegato A alla Delibera n. 318/2020 di ARERA.</w:t>
      </w:r>
    </w:p>
    <w:p w14:paraId="0000000B" w14:textId="2EBB2CC3" w:rsidR="00FD74C4" w:rsidRDefault="001021A2" w:rsidP="005B4466">
      <w:pPr>
        <w:widowControl w:val="0"/>
        <w:pBdr>
          <w:top w:val="nil"/>
          <w:left w:val="nil"/>
          <w:bottom w:val="nil"/>
          <w:right w:val="nil"/>
          <w:between w:val="nil"/>
        </w:pBdr>
        <w:jc w:val="both"/>
        <w:rPr>
          <w:color w:val="000000"/>
          <w:sz w:val="22"/>
          <w:szCs w:val="22"/>
        </w:rPr>
      </w:pPr>
      <w:r w:rsidRPr="003E3B7C">
        <w:rPr>
          <w:color w:val="000000"/>
          <w:sz w:val="22"/>
          <w:szCs w:val="22"/>
        </w:rPr>
        <w:t xml:space="preserve">La Comunità, ai termini </w:t>
      </w:r>
      <w:r w:rsidRPr="003E3B7C">
        <w:rPr>
          <w:color w:val="000000"/>
          <w:sz w:val="22"/>
          <w:szCs w:val="22"/>
        </w:rPr>
        <w:t>e condizioni di cui all’allegata delegazione di pagamento, previo ricevimento della provvista necessaria, può pagare le bollette dei Soci, senza assumere obbligo in tal senso nei confronti del venditore dell’energia elettrica ai sensi dell’art. 1269 del Co</w:t>
      </w:r>
      <w:r w:rsidRPr="003E3B7C">
        <w:rPr>
          <w:color w:val="000000"/>
          <w:sz w:val="22"/>
          <w:szCs w:val="22"/>
        </w:rPr>
        <w:t>dice Civile, qualora tale delega sia conferita dai Soci alla Comunità.</w:t>
      </w:r>
    </w:p>
    <w:p w14:paraId="5DB0FE1E" w14:textId="77777777" w:rsidR="005B4466" w:rsidRPr="003E3B7C" w:rsidRDefault="005B4466" w:rsidP="005B4466">
      <w:pPr>
        <w:widowControl w:val="0"/>
        <w:pBdr>
          <w:top w:val="nil"/>
          <w:left w:val="nil"/>
          <w:bottom w:val="nil"/>
          <w:right w:val="nil"/>
          <w:between w:val="nil"/>
        </w:pBdr>
        <w:jc w:val="both"/>
        <w:rPr>
          <w:sz w:val="22"/>
          <w:szCs w:val="22"/>
        </w:rPr>
      </w:pPr>
    </w:p>
    <w:p w14:paraId="6BEA4E5D" w14:textId="59C3E685" w:rsidR="00093586" w:rsidRDefault="00093586" w:rsidP="003E3B7C">
      <w:pPr>
        <w:widowControl w:val="0"/>
        <w:pBdr>
          <w:top w:val="nil"/>
          <w:left w:val="nil"/>
          <w:bottom w:val="nil"/>
          <w:right w:val="nil"/>
          <w:between w:val="nil"/>
        </w:pBdr>
        <w:jc w:val="center"/>
        <w:rPr>
          <w:b/>
          <w:color w:val="000000"/>
          <w:sz w:val="22"/>
          <w:szCs w:val="22"/>
        </w:rPr>
      </w:pPr>
      <w:r>
        <w:rPr>
          <w:b/>
          <w:color w:val="000000"/>
          <w:sz w:val="22"/>
          <w:szCs w:val="22"/>
        </w:rPr>
        <w:t>Articolo 2</w:t>
      </w:r>
    </w:p>
    <w:p w14:paraId="0000000C" w14:textId="4B6F6F42" w:rsidR="00FD74C4" w:rsidRDefault="001021A2" w:rsidP="003E3B7C">
      <w:pPr>
        <w:widowControl w:val="0"/>
        <w:pBdr>
          <w:top w:val="nil"/>
          <w:left w:val="nil"/>
          <w:bottom w:val="nil"/>
          <w:right w:val="nil"/>
          <w:between w:val="nil"/>
        </w:pBdr>
        <w:jc w:val="center"/>
        <w:rPr>
          <w:b/>
          <w:color w:val="000000"/>
          <w:sz w:val="22"/>
          <w:szCs w:val="22"/>
        </w:rPr>
      </w:pPr>
      <w:r w:rsidRPr="003E3B7C">
        <w:rPr>
          <w:b/>
          <w:color w:val="000000"/>
          <w:sz w:val="22"/>
          <w:szCs w:val="22"/>
        </w:rPr>
        <w:t>Destinazione degli Importi Derivanti dalla Condivisione dell’Energia</w:t>
      </w:r>
    </w:p>
    <w:p w14:paraId="0D0C02E2" w14:textId="77777777" w:rsidR="00093586" w:rsidRPr="00093586" w:rsidRDefault="00093586" w:rsidP="003E3B7C">
      <w:pPr>
        <w:widowControl w:val="0"/>
        <w:pBdr>
          <w:top w:val="nil"/>
          <w:left w:val="nil"/>
          <w:bottom w:val="nil"/>
          <w:right w:val="nil"/>
          <w:between w:val="nil"/>
        </w:pBdr>
        <w:jc w:val="center"/>
        <w:rPr>
          <w:color w:val="000000"/>
          <w:sz w:val="22"/>
          <w:szCs w:val="22"/>
        </w:rPr>
      </w:pPr>
    </w:p>
    <w:p w14:paraId="0000000D" w14:textId="77777777" w:rsidR="00FD74C4" w:rsidRPr="003E3B7C" w:rsidRDefault="001021A2" w:rsidP="00093586">
      <w:pPr>
        <w:widowControl w:val="0"/>
        <w:pBdr>
          <w:top w:val="nil"/>
          <w:left w:val="nil"/>
          <w:bottom w:val="nil"/>
          <w:right w:val="nil"/>
          <w:between w:val="nil"/>
        </w:pBdr>
        <w:jc w:val="both"/>
        <w:rPr>
          <w:sz w:val="22"/>
          <w:szCs w:val="22"/>
        </w:rPr>
      </w:pPr>
      <w:r w:rsidRPr="003E3B7C">
        <w:rPr>
          <w:color w:val="000000"/>
          <w:sz w:val="22"/>
          <w:szCs w:val="22"/>
        </w:rPr>
        <w:t>Gli Importi derivanti dalla Condivisione dell’Energia della Comunità saranno destinati:</w:t>
      </w:r>
    </w:p>
    <w:p w14:paraId="0000000E" w14:textId="418BBAB0" w:rsidR="00FD74C4" w:rsidRPr="00093586" w:rsidRDefault="00093586" w:rsidP="007947DB">
      <w:pPr>
        <w:pStyle w:val="Paragrafoelenco"/>
        <w:widowControl w:val="0"/>
        <w:numPr>
          <w:ilvl w:val="0"/>
          <w:numId w:val="11"/>
        </w:numPr>
        <w:pBdr>
          <w:top w:val="nil"/>
          <w:left w:val="nil"/>
          <w:bottom w:val="nil"/>
          <w:right w:val="nil"/>
          <w:between w:val="nil"/>
        </w:pBdr>
        <w:jc w:val="both"/>
        <w:rPr>
          <w:sz w:val="22"/>
          <w:szCs w:val="22"/>
        </w:rPr>
      </w:pPr>
      <w:r>
        <w:rPr>
          <w:color w:val="000000"/>
          <w:sz w:val="22"/>
          <w:szCs w:val="22"/>
        </w:rPr>
        <w:t>a</w:t>
      </w:r>
      <w:r w:rsidR="001021A2" w:rsidRPr="00093586">
        <w:rPr>
          <w:color w:val="000000"/>
          <w:sz w:val="22"/>
          <w:szCs w:val="22"/>
        </w:rPr>
        <w:t>lla restituzione dei finanziamenti ottenuti e dei costi sostenuti per la fornitura dell’impianto secondo il relativo piano di ammortamento ovvero, nel caso di impianto detenuto dalla Comunità ma di proprietà di un socio o di un terzo, al pagamento dei cos</w:t>
      </w:r>
      <w:r w:rsidR="001021A2" w:rsidRPr="00093586">
        <w:rPr>
          <w:color w:val="000000"/>
          <w:sz w:val="22"/>
          <w:szCs w:val="22"/>
        </w:rPr>
        <w:t>ti di messa a disposizione dell’impianto come impianto detenuto dalla Comunità, secondo gli accordi di volta in volta intercorsi;</w:t>
      </w:r>
    </w:p>
    <w:p w14:paraId="0000000F" w14:textId="55560524" w:rsidR="00FD74C4" w:rsidRPr="00093586" w:rsidRDefault="00093586" w:rsidP="007947DB">
      <w:pPr>
        <w:pStyle w:val="Paragrafoelenco"/>
        <w:widowControl w:val="0"/>
        <w:numPr>
          <w:ilvl w:val="0"/>
          <w:numId w:val="11"/>
        </w:numPr>
        <w:pBdr>
          <w:top w:val="nil"/>
          <w:left w:val="nil"/>
          <w:bottom w:val="nil"/>
          <w:right w:val="nil"/>
          <w:between w:val="nil"/>
        </w:pBdr>
        <w:jc w:val="both"/>
        <w:rPr>
          <w:sz w:val="22"/>
          <w:szCs w:val="22"/>
        </w:rPr>
      </w:pPr>
      <w:r>
        <w:rPr>
          <w:color w:val="000000"/>
          <w:sz w:val="22"/>
          <w:szCs w:val="22"/>
        </w:rPr>
        <w:t>p</w:t>
      </w:r>
      <w:r w:rsidR="001021A2" w:rsidRPr="00093586">
        <w:rPr>
          <w:color w:val="000000"/>
          <w:sz w:val="22"/>
          <w:szCs w:val="22"/>
        </w:rPr>
        <w:t xml:space="preserve">er una quota pari al … % del residuo, alla copertura dei costi per il funzionamento della Comunità, ivi compreso il pagamento del corrispettivo per </w:t>
      </w:r>
      <w:proofErr w:type="spellStart"/>
      <w:r w:rsidR="001021A2" w:rsidRPr="00093586">
        <w:rPr>
          <w:color w:val="000000"/>
          <w:sz w:val="22"/>
          <w:szCs w:val="22"/>
        </w:rPr>
        <w:t>il</w:t>
      </w:r>
      <w:proofErr w:type="spellEnd"/>
      <w:r w:rsidR="001021A2" w:rsidRPr="00093586">
        <w:rPr>
          <w:color w:val="000000"/>
          <w:sz w:val="22"/>
          <w:szCs w:val="22"/>
        </w:rPr>
        <w:t xml:space="preserve"> svolgimento dei servizi amministrativi e contabili della Comunità;</w:t>
      </w:r>
    </w:p>
    <w:p w14:paraId="00000010" w14:textId="5C0F8C80" w:rsidR="00FD74C4" w:rsidRPr="00093586" w:rsidRDefault="00093586" w:rsidP="007947DB">
      <w:pPr>
        <w:pStyle w:val="Paragrafoelenco"/>
        <w:widowControl w:val="0"/>
        <w:numPr>
          <w:ilvl w:val="0"/>
          <w:numId w:val="11"/>
        </w:numPr>
        <w:pBdr>
          <w:top w:val="nil"/>
          <w:left w:val="nil"/>
          <w:bottom w:val="nil"/>
          <w:right w:val="nil"/>
          <w:between w:val="nil"/>
        </w:pBdr>
        <w:jc w:val="both"/>
        <w:rPr>
          <w:sz w:val="22"/>
          <w:szCs w:val="22"/>
        </w:rPr>
      </w:pPr>
      <w:r>
        <w:rPr>
          <w:color w:val="000000"/>
          <w:sz w:val="22"/>
          <w:szCs w:val="22"/>
        </w:rPr>
        <w:lastRenderedPageBreak/>
        <w:t xml:space="preserve">per la restante quota del …% </w:t>
      </w:r>
      <w:r w:rsidR="001021A2" w:rsidRPr="00093586">
        <w:rPr>
          <w:color w:val="000000"/>
          <w:sz w:val="22"/>
          <w:szCs w:val="22"/>
        </w:rPr>
        <w:t>alle fi</w:t>
      </w:r>
      <w:r w:rsidR="001021A2" w:rsidRPr="00093586">
        <w:rPr>
          <w:color w:val="000000"/>
          <w:sz w:val="22"/>
          <w:szCs w:val="22"/>
        </w:rPr>
        <w:t>nalità istituzionali della Comunità ovvero, secondo quanto stabilito dall’Assemblea dei Soci, alternativamente (a) alla restituzione ai Soci secondo quanto previsto dall’art. 3, ovvero (b) alla fornitura di benefici ambientali, economici e sociali a livell</w:t>
      </w:r>
      <w:r w:rsidR="001021A2" w:rsidRPr="00093586">
        <w:rPr>
          <w:color w:val="000000"/>
          <w:sz w:val="22"/>
          <w:szCs w:val="22"/>
        </w:rPr>
        <w:t>o di Comunità, anche al fine di eliminare o ridurre situazioni di povertà energetica all’interno della Comunità medesima.</w:t>
      </w:r>
    </w:p>
    <w:p w14:paraId="00000011" w14:textId="1CD26295" w:rsidR="00FD74C4" w:rsidRDefault="001021A2" w:rsidP="00093586">
      <w:pPr>
        <w:widowControl w:val="0"/>
        <w:pBdr>
          <w:top w:val="nil"/>
          <w:left w:val="nil"/>
          <w:bottom w:val="nil"/>
          <w:right w:val="nil"/>
          <w:between w:val="nil"/>
        </w:pBdr>
        <w:jc w:val="both"/>
        <w:rPr>
          <w:color w:val="000000"/>
          <w:sz w:val="22"/>
          <w:szCs w:val="22"/>
        </w:rPr>
      </w:pPr>
      <w:r w:rsidRPr="003E3B7C">
        <w:rPr>
          <w:color w:val="000000"/>
          <w:sz w:val="22"/>
          <w:szCs w:val="22"/>
        </w:rPr>
        <w:t>I</w:t>
      </w:r>
      <w:r w:rsidRPr="003E3B7C">
        <w:rPr>
          <w:color w:val="000000"/>
          <w:sz w:val="22"/>
          <w:szCs w:val="22"/>
        </w:rPr>
        <w:t>l finanziamento degli impianti a fonte rinnovabile di proprietà della Comunità potrà avvenire con finanziamenti dei Soci secondo quan</w:t>
      </w:r>
      <w:r w:rsidR="00093586">
        <w:rPr>
          <w:color w:val="000000"/>
          <w:sz w:val="22"/>
          <w:szCs w:val="22"/>
        </w:rPr>
        <w:t>to previsto dallo Statuto e dal</w:t>
      </w:r>
      <w:r w:rsidRPr="003E3B7C">
        <w:rPr>
          <w:color w:val="000000"/>
          <w:sz w:val="22"/>
          <w:szCs w:val="22"/>
        </w:rPr>
        <w:t xml:space="preserve"> regolamento per la raccolta del risparmio presso i soci, con finanziamento bancario ovvero attraverso la stipula di un contratto di noleggio oper</w:t>
      </w:r>
      <w:r w:rsidR="00093586">
        <w:rPr>
          <w:color w:val="000000"/>
          <w:sz w:val="22"/>
          <w:szCs w:val="22"/>
        </w:rPr>
        <w:t>ativo o di leasing finanziario.</w:t>
      </w:r>
    </w:p>
    <w:p w14:paraId="77E5E3C5" w14:textId="77777777" w:rsidR="00093586" w:rsidRPr="003E3B7C" w:rsidRDefault="00093586" w:rsidP="00093586">
      <w:pPr>
        <w:widowControl w:val="0"/>
        <w:pBdr>
          <w:top w:val="nil"/>
          <w:left w:val="nil"/>
          <w:bottom w:val="nil"/>
          <w:right w:val="nil"/>
          <w:between w:val="nil"/>
        </w:pBdr>
        <w:jc w:val="both"/>
        <w:rPr>
          <w:sz w:val="22"/>
          <w:szCs w:val="22"/>
        </w:rPr>
      </w:pPr>
    </w:p>
    <w:p w14:paraId="7209E8D5" w14:textId="77777777" w:rsidR="00093586" w:rsidRDefault="00093586" w:rsidP="003E3B7C">
      <w:pPr>
        <w:widowControl w:val="0"/>
        <w:pBdr>
          <w:top w:val="nil"/>
          <w:left w:val="nil"/>
          <w:bottom w:val="nil"/>
          <w:right w:val="nil"/>
          <w:between w:val="nil"/>
        </w:pBdr>
        <w:jc w:val="center"/>
        <w:rPr>
          <w:b/>
          <w:color w:val="000000"/>
          <w:sz w:val="22"/>
          <w:szCs w:val="22"/>
        </w:rPr>
      </w:pPr>
      <w:r>
        <w:rPr>
          <w:b/>
          <w:color w:val="000000"/>
          <w:sz w:val="22"/>
          <w:szCs w:val="22"/>
        </w:rPr>
        <w:t>Articolo 3</w:t>
      </w:r>
    </w:p>
    <w:p w14:paraId="00000012" w14:textId="013620A1" w:rsidR="00FD74C4" w:rsidRDefault="001021A2" w:rsidP="003E3B7C">
      <w:pPr>
        <w:widowControl w:val="0"/>
        <w:pBdr>
          <w:top w:val="nil"/>
          <w:left w:val="nil"/>
          <w:bottom w:val="nil"/>
          <w:right w:val="nil"/>
          <w:between w:val="nil"/>
        </w:pBdr>
        <w:jc w:val="center"/>
        <w:rPr>
          <w:b/>
          <w:color w:val="000000"/>
          <w:sz w:val="22"/>
          <w:szCs w:val="22"/>
        </w:rPr>
      </w:pPr>
      <w:r w:rsidRPr="003E3B7C">
        <w:rPr>
          <w:b/>
          <w:color w:val="000000"/>
          <w:sz w:val="22"/>
          <w:szCs w:val="22"/>
        </w:rPr>
        <w:t>Ripartizione degli Importi deriv</w:t>
      </w:r>
      <w:r w:rsidRPr="003E3B7C">
        <w:rPr>
          <w:b/>
          <w:color w:val="000000"/>
          <w:sz w:val="22"/>
          <w:szCs w:val="22"/>
        </w:rPr>
        <w:t>anti dalla Condivisione dell’Energia</w:t>
      </w:r>
    </w:p>
    <w:p w14:paraId="148E6DAC" w14:textId="77777777" w:rsidR="00093586" w:rsidRPr="00093586" w:rsidRDefault="00093586" w:rsidP="003E3B7C">
      <w:pPr>
        <w:widowControl w:val="0"/>
        <w:pBdr>
          <w:top w:val="nil"/>
          <w:left w:val="nil"/>
          <w:bottom w:val="nil"/>
          <w:right w:val="nil"/>
          <w:between w:val="nil"/>
        </w:pBdr>
        <w:jc w:val="center"/>
        <w:rPr>
          <w:color w:val="000000"/>
          <w:sz w:val="22"/>
          <w:szCs w:val="22"/>
        </w:rPr>
      </w:pPr>
    </w:p>
    <w:p w14:paraId="00000013" w14:textId="77777777" w:rsidR="00FD74C4" w:rsidRPr="003E3B7C" w:rsidRDefault="001021A2" w:rsidP="00093586">
      <w:pPr>
        <w:widowControl w:val="0"/>
        <w:pBdr>
          <w:top w:val="nil"/>
          <w:left w:val="nil"/>
          <w:bottom w:val="nil"/>
          <w:right w:val="nil"/>
          <w:between w:val="nil"/>
        </w:pBdr>
        <w:jc w:val="both"/>
        <w:rPr>
          <w:sz w:val="22"/>
          <w:szCs w:val="22"/>
        </w:rPr>
      </w:pPr>
      <w:bookmarkStart w:id="2" w:name="30j0zll" w:colFirst="0" w:colLast="0"/>
      <w:bookmarkEnd w:id="2"/>
      <w:r w:rsidRPr="003E3B7C">
        <w:rPr>
          <w:color w:val="000000"/>
          <w:sz w:val="22"/>
          <w:szCs w:val="22"/>
        </w:rPr>
        <w:t>La destinazione degli Importi derivanti dalla Condivisione dell’Energia della Comunità avverrà tramite versamenti da parte della Comunità ai Soci, in conformità al regime fiscale di volta in volta applicabile.</w:t>
      </w:r>
    </w:p>
    <w:p w14:paraId="00000014" w14:textId="77777777" w:rsidR="00FD74C4" w:rsidRPr="003E3B7C" w:rsidRDefault="001021A2" w:rsidP="00093586">
      <w:pPr>
        <w:widowControl w:val="0"/>
        <w:pBdr>
          <w:top w:val="nil"/>
          <w:left w:val="nil"/>
          <w:bottom w:val="nil"/>
          <w:right w:val="nil"/>
          <w:between w:val="nil"/>
        </w:pBdr>
        <w:jc w:val="both"/>
        <w:rPr>
          <w:sz w:val="22"/>
          <w:szCs w:val="22"/>
        </w:rPr>
      </w:pPr>
      <w:r w:rsidRPr="003E3B7C">
        <w:rPr>
          <w:color w:val="000000"/>
          <w:sz w:val="22"/>
          <w:szCs w:val="22"/>
        </w:rPr>
        <w:t>La quota degli Importi derivanti dalla Condivisione dell’Energia destinata ai singoli Soci (il “</w:t>
      </w:r>
      <w:r w:rsidRPr="003E3B7C">
        <w:rPr>
          <w:b/>
          <w:color w:val="000000"/>
          <w:sz w:val="22"/>
          <w:szCs w:val="22"/>
        </w:rPr>
        <w:t>Contributo alla riduzione dei Costi Energetici</w:t>
      </w:r>
      <w:r w:rsidRPr="003E3B7C">
        <w:rPr>
          <w:color w:val="000000"/>
          <w:sz w:val="22"/>
          <w:szCs w:val="22"/>
        </w:rPr>
        <w:t>”) sarà determinata di anno in anno dal Consiglio di Amministrazione sulla base di uno dei criteri di seguito:</w:t>
      </w:r>
    </w:p>
    <w:p w14:paraId="00000015" w14:textId="77777777" w:rsidR="00FD74C4" w:rsidRPr="003E3B7C" w:rsidRDefault="001021A2" w:rsidP="003E3B7C">
      <w:pPr>
        <w:widowControl w:val="0"/>
        <w:numPr>
          <w:ilvl w:val="0"/>
          <w:numId w:val="5"/>
        </w:numPr>
        <w:pBdr>
          <w:top w:val="nil"/>
          <w:left w:val="nil"/>
          <w:bottom w:val="nil"/>
          <w:right w:val="nil"/>
          <w:between w:val="nil"/>
        </w:pBdr>
        <w:ind w:hanging="360"/>
        <w:jc w:val="both"/>
        <w:rPr>
          <w:sz w:val="22"/>
          <w:szCs w:val="22"/>
        </w:rPr>
      </w:pPr>
      <w:r w:rsidRPr="003E3B7C">
        <w:rPr>
          <w:color w:val="000000"/>
          <w:sz w:val="22"/>
          <w:szCs w:val="22"/>
        </w:rPr>
        <w:t>[</w:t>
      </w:r>
      <w:r w:rsidRPr="003E3B7C">
        <w:rPr>
          <w:color w:val="000000"/>
          <w:sz w:val="22"/>
          <w:szCs w:val="22"/>
          <w:highlight w:val="yellow"/>
        </w:rPr>
        <w:t>ad</w:t>
      </w:r>
      <w:r w:rsidRPr="003E3B7C">
        <w:rPr>
          <w:color w:val="000000"/>
          <w:sz w:val="22"/>
          <w:szCs w:val="22"/>
          <w:highlight w:val="yellow"/>
        </w:rPr>
        <w:t xml:space="preserve"> ogni singolo socio in egual misura] </w:t>
      </w:r>
    </w:p>
    <w:p w14:paraId="00000016" w14:textId="7BB6141E" w:rsidR="00FD74C4" w:rsidRPr="003E3B7C" w:rsidRDefault="008F5565" w:rsidP="003E3B7C">
      <w:pPr>
        <w:widowControl w:val="0"/>
        <w:pBdr>
          <w:top w:val="nil"/>
          <w:left w:val="nil"/>
          <w:bottom w:val="nil"/>
          <w:right w:val="nil"/>
          <w:between w:val="nil"/>
        </w:pBdr>
        <w:ind w:left="465"/>
        <w:jc w:val="both"/>
        <w:rPr>
          <w:color w:val="000000"/>
          <w:sz w:val="22"/>
          <w:szCs w:val="22"/>
          <w:highlight w:val="yellow"/>
        </w:rPr>
      </w:pPr>
      <w:r w:rsidRPr="003E3B7C">
        <w:rPr>
          <w:color w:val="000000"/>
          <w:sz w:val="22"/>
          <w:szCs w:val="22"/>
          <w:highlight w:val="yellow"/>
        </w:rPr>
        <w:t>OPPURE</w:t>
      </w:r>
    </w:p>
    <w:p w14:paraId="00000017" w14:textId="77777777" w:rsidR="00FD74C4" w:rsidRPr="003E3B7C" w:rsidRDefault="001021A2" w:rsidP="003E3B7C">
      <w:pPr>
        <w:widowControl w:val="0"/>
        <w:numPr>
          <w:ilvl w:val="0"/>
          <w:numId w:val="5"/>
        </w:numPr>
        <w:pBdr>
          <w:top w:val="nil"/>
          <w:left w:val="nil"/>
          <w:bottom w:val="nil"/>
          <w:right w:val="nil"/>
          <w:between w:val="nil"/>
        </w:pBdr>
        <w:ind w:hanging="360"/>
        <w:jc w:val="both"/>
        <w:rPr>
          <w:sz w:val="22"/>
          <w:szCs w:val="22"/>
        </w:rPr>
      </w:pPr>
      <w:r w:rsidRPr="003E3B7C">
        <w:rPr>
          <w:color w:val="000000"/>
          <w:sz w:val="22"/>
          <w:szCs w:val="22"/>
          <w:highlight w:val="yellow"/>
        </w:rPr>
        <w:t xml:space="preserve">[su base millesimale, determinata in base alla superficie delle unità immobiliare che costituisce l’unità di consumo di ciascun Socio] </w:t>
      </w:r>
    </w:p>
    <w:p w14:paraId="00000018" w14:textId="02F15A5A" w:rsidR="00FD74C4" w:rsidRPr="003E3B7C" w:rsidRDefault="008F5565" w:rsidP="003E3B7C">
      <w:pPr>
        <w:widowControl w:val="0"/>
        <w:pBdr>
          <w:top w:val="nil"/>
          <w:left w:val="nil"/>
          <w:bottom w:val="nil"/>
          <w:right w:val="nil"/>
          <w:between w:val="nil"/>
        </w:pBdr>
        <w:ind w:left="465"/>
        <w:jc w:val="both"/>
        <w:rPr>
          <w:color w:val="000000"/>
          <w:sz w:val="22"/>
          <w:szCs w:val="22"/>
          <w:highlight w:val="yellow"/>
        </w:rPr>
      </w:pPr>
      <w:r w:rsidRPr="003E3B7C">
        <w:rPr>
          <w:color w:val="000000"/>
          <w:sz w:val="22"/>
          <w:szCs w:val="22"/>
          <w:highlight w:val="yellow"/>
        </w:rPr>
        <w:t>OPPURE</w:t>
      </w:r>
    </w:p>
    <w:p w14:paraId="00000019" w14:textId="77777777" w:rsidR="00FD74C4" w:rsidRPr="003E3B7C" w:rsidRDefault="001021A2" w:rsidP="003E3B7C">
      <w:pPr>
        <w:widowControl w:val="0"/>
        <w:numPr>
          <w:ilvl w:val="0"/>
          <w:numId w:val="5"/>
        </w:numPr>
        <w:pBdr>
          <w:top w:val="nil"/>
          <w:left w:val="nil"/>
          <w:bottom w:val="nil"/>
          <w:right w:val="nil"/>
          <w:between w:val="nil"/>
        </w:pBdr>
        <w:ind w:hanging="360"/>
        <w:jc w:val="both"/>
        <w:rPr>
          <w:sz w:val="22"/>
          <w:szCs w:val="22"/>
        </w:rPr>
      </w:pPr>
      <w:r w:rsidRPr="003E3B7C">
        <w:rPr>
          <w:color w:val="000000"/>
          <w:sz w:val="22"/>
          <w:szCs w:val="22"/>
          <w:highlight w:val="yellow"/>
        </w:rPr>
        <w:t>[secondo il metodo proporzionale, tenendo conto dell’apporto di ciascun Socio alla condivisione dell’energia. La quota di Tariffe Incentivanti destinata a ciascun Socio sarà determinata tenendo conto della quantità di energia elettrica prelevata da ciascun</w:t>
      </w:r>
      <w:r w:rsidRPr="003E3B7C">
        <w:rPr>
          <w:color w:val="000000"/>
          <w:sz w:val="22"/>
          <w:szCs w:val="22"/>
          <w:highlight w:val="yellow"/>
        </w:rPr>
        <w:t xml:space="preserve"> Socio nel corso dell’anno in </w:t>
      </w:r>
      <w:proofErr w:type="spellStart"/>
      <w:r w:rsidRPr="003E3B7C">
        <w:rPr>
          <w:color w:val="000000"/>
          <w:sz w:val="22"/>
          <w:szCs w:val="22"/>
          <w:highlight w:val="yellow"/>
        </w:rPr>
        <w:t>ciasun</w:t>
      </w:r>
      <w:proofErr w:type="spellEnd"/>
      <w:r w:rsidRPr="003E3B7C">
        <w:rPr>
          <w:color w:val="000000"/>
          <w:sz w:val="22"/>
          <w:szCs w:val="22"/>
          <w:highlight w:val="yellow"/>
        </w:rPr>
        <w:t xml:space="preserve"> periodo orario in cui viene prodotta </w:t>
      </w:r>
      <w:r w:rsidRPr="003E3B7C">
        <w:rPr>
          <w:color w:val="000000"/>
          <w:sz w:val="22"/>
          <w:szCs w:val="22"/>
          <w:highlight w:val="yellow"/>
        </w:rPr>
        <w:lastRenderedPageBreak/>
        <w:t>energia dagli impianti della Comunità.</w:t>
      </w:r>
    </w:p>
    <w:p w14:paraId="0000001A" w14:textId="77777777" w:rsidR="00FD74C4" w:rsidRPr="003E3B7C" w:rsidRDefault="001021A2" w:rsidP="003E3B7C">
      <w:pPr>
        <w:widowControl w:val="0"/>
        <w:pBdr>
          <w:top w:val="nil"/>
          <w:left w:val="nil"/>
          <w:bottom w:val="nil"/>
          <w:right w:val="nil"/>
          <w:between w:val="nil"/>
        </w:pBdr>
        <w:ind w:left="465" w:firstLine="242"/>
        <w:jc w:val="both"/>
        <w:rPr>
          <w:color w:val="000000"/>
          <w:sz w:val="22"/>
          <w:szCs w:val="22"/>
          <w:highlight w:val="yellow"/>
        </w:rPr>
      </w:pPr>
      <w:r w:rsidRPr="003E3B7C">
        <w:rPr>
          <w:color w:val="000000"/>
          <w:sz w:val="22"/>
          <w:szCs w:val="22"/>
          <w:highlight w:val="yellow"/>
        </w:rPr>
        <w:t>Si applicherà la formula di seguito:</w:t>
      </w:r>
    </w:p>
    <w:p w14:paraId="0000001B" w14:textId="77777777" w:rsidR="00FD74C4" w:rsidRPr="003E3B7C" w:rsidRDefault="001021A2" w:rsidP="003E3B7C">
      <w:pPr>
        <w:widowControl w:val="0"/>
        <w:pBdr>
          <w:top w:val="nil"/>
          <w:left w:val="nil"/>
          <w:bottom w:val="nil"/>
          <w:right w:val="nil"/>
          <w:between w:val="nil"/>
        </w:pBdr>
        <w:ind w:left="708"/>
        <w:jc w:val="both"/>
        <w:rPr>
          <w:color w:val="000000"/>
          <w:sz w:val="22"/>
          <w:szCs w:val="22"/>
          <w:highlight w:val="yellow"/>
        </w:rPr>
      </w:pPr>
      <w:r w:rsidRPr="003E3B7C">
        <w:rPr>
          <w:color w:val="000000"/>
          <w:sz w:val="22"/>
          <w:szCs w:val="22"/>
          <w:highlight w:val="yellow"/>
        </w:rPr>
        <w:t>RBS = TRC * [(TCS&lt;X)/TPC)]</w:t>
      </w:r>
    </w:p>
    <w:p w14:paraId="0000001C" w14:textId="77777777" w:rsidR="00FD74C4" w:rsidRPr="003E3B7C" w:rsidRDefault="001021A2" w:rsidP="003E3B7C">
      <w:pPr>
        <w:widowControl w:val="0"/>
        <w:pBdr>
          <w:top w:val="nil"/>
          <w:left w:val="nil"/>
          <w:bottom w:val="nil"/>
          <w:right w:val="nil"/>
          <w:between w:val="nil"/>
        </w:pBdr>
        <w:ind w:left="708"/>
        <w:jc w:val="both"/>
        <w:rPr>
          <w:color w:val="000000"/>
          <w:sz w:val="22"/>
          <w:szCs w:val="22"/>
          <w:highlight w:val="yellow"/>
        </w:rPr>
      </w:pPr>
      <w:r w:rsidRPr="003E3B7C">
        <w:rPr>
          <w:color w:val="000000"/>
          <w:sz w:val="22"/>
          <w:szCs w:val="22"/>
          <w:highlight w:val="yellow"/>
        </w:rPr>
        <w:t>Ove</w:t>
      </w:r>
    </w:p>
    <w:p w14:paraId="0000001D" w14:textId="7D3251F0" w:rsidR="00FD74C4" w:rsidRPr="003E3B7C" w:rsidRDefault="008F5565" w:rsidP="003E3B7C">
      <w:pPr>
        <w:widowControl w:val="0"/>
        <w:pBdr>
          <w:top w:val="nil"/>
          <w:left w:val="nil"/>
          <w:bottom w:val="nil"/>
          <w:right w:val="nil"/>
          <w:between w:val="nil"/>
        </w:pBdr>
        <w:ind w:left="708"/>
        <w:jc w:val="both"/>
        <w:rPr>
          <w:color w:val="000000"/>
          <w:sz w:val="22"/>
          <w:szCs w:val="22"/>
          <w:highlight w:val="yellow"/>
        </w:rPr>
      </w:pPr>
      <w:r>
        <w:rPr>
          <w:color w:val="000000"/>
          <w:sz w:val="22"/>
          <w:szCs w:val="22"/>
          <w:highlight w:val="yellow"/>
        </w:rPr>
        <w:t>RBS = restituzione</w:t>
      </w:r>
      <w:r w:rsidR="001021A2" w:rsidRPr="003E3B7C">
        <w:rPr>
          <w:color w:val="000000"/>
          <w:sz w:val="22"/>
          <w:szCs w:val="22"/>
          <w:highlight w:val="yellow"/>
        </w:rPr>
        <w:t xml:space="preserve"> al singolo Socio</w:t>
      </w:r>
    </w:p>
    <w:p w14:paraId="0000001E" w14:textId="4FEDD011" w:rsidR="00FD74C4" w:rsidRPr="007947DB" w:rsidRDefault="001021A2" w:rsidP="003E3B7C">
      <w:pPr>
        <w:widowControl w:val="0"/>
        <w:pBdr>
          <w:top w:val="nil"/>
          <w:left w:val="nil"/>
          <w:bottom w:val="nil"/>
          <w:right w:val="nil"/>
          <w:between w:val="nil"/>
        </w:pBdr>
        <w:ind w:left="708"/>
        <w:jc w:val="both"/>
        <w:rPr>
          <w:color w:val="000000"/>
          <w:sz w:val="22"/>
          <w:szCs w:val="22"/>
          <w:highlight w:val="red"/>
        </w:rPr>
      </w:pPr>
      <w:r w:rsidRPr="003E3B7C">
        <w:rPr>
          <w:color w:val="000000"/>
          <w:sz w:val="22"/>
          <w:szCs w:val="22"/>
          <w:highlight w:val="yellow"/>
        </w:rPr>
        <w:t>TRC = Totale dei ricavi per le Tariffe Incentivanti disponibili per la restituzione su base annua (cumulata sia per le tariffe spettanti alla Comunità Produttore che per la parte di incentivi spettante al Socio Produttore o al Terzo che viene pagata da que</w:t>
      </w:r>
      <w:r w:rsidRPr="003E3B7C">
        <w:rPr>
          <w:color w:val="000000"/>
          <w:sz w:val="22"/>
          <w:szCs w:val="22"/>
          <w:highlight w:val="yellow"/>
        </w:rPr>
        <w:t>sti ultimi alla Comunità), determinato dall’Assemblea secondo quanto previsto all’art. 2, comma 1, punto (iii) del presente</w:t>
      </w:r>
      <w:r w:rsidRPr="001021A2">
        <w:rPr>
          <w:color w:val="000000"/>
          <w:sz w:val="22"/>
          <w:szCs w:val="22"/>
          <w:highlight w:val="yellow"/>
        </w:rPr>
        <w:t xml:space="preserve"> regolamento</w:t>
      </w:r>
    </w:p>
    <w:p w14:paraId="0000001F" w14:textId="77777777" w:rsidR="00FD74C4" w:rsidRPr="003E3B7C" w:rsidRDefault="001021A2" w:rsidP="003E3B7C">
      <w:pPr>
        <w:widowControl w:val="0"/>
        <w:pBdr>
          <w:top w:val="nil"/>
          <w:left w:val="nil"/>
          <w:bottom w:val="nil"/>
          <w:right w:val="nil"/>
          <w:between w:val="nil"/>
        </w:pBdr>
        <w:ind w:left="708"/>
        <w:jc w:val="both"/>
        <w:rPr>
          <w:color w:val="000000"/>
          <w:sz w:val="22"/>
          <w:szCs w:val="22"/>
          <w:highlight w:val="yellow"/>
        </w:rPr>
      </w:pPr>
      <w:r w:rsidRPr="003E3B7C">
        <w:rPr>
          <w:color w:val="000000"/>
          <w:sz w:val="22"/>
          <w:szCs w:val="22"/>
          <w:highlight w:val="yellow"/>
        </w:rPr>
        <w:t>TCS = Totale del consumo condiviso ascrivibile al singolo Socio</w:t>
      </w:r>
    </w:p>
    <w:p w14:paraId="00000020" w14:textId="77777777" w:rsidR="00FD74C4" w:rsidRPr="003E3B7C" w:rsidRDefault="001021A2" w:rsidP="003E3B7C">
      <w:pPr>
        <w:widowControl w:val="0"/>
        <w:pBdr>
          <w:top w:val="nil"/>
          <w:left w:val="nil"/>
          <w:bottom w:val="nil"/>
          <w:right w:val="nil"/>
          <w:between w:val="nil"/>
        </w:pBdr>
        <w:ind w:left="708"/>
        <w:jc w:val="both"/>
        <w:rPr>
          <w:color w:val="000000"/>
          <w:sz w:val="22"/>
          <w:szCs w:val="22"/>
          <w:highlight w:val="yellow"/>
        </w:rPr>
      </w:pPr>
      <w:r w:rsidRPr="003E3B7C">
        <w:rPr>
          <w:color w:val="000000"/>
          <w:sz w:val="22"/>
          <w:szCs w:val="22"/>
          <w:highlight w:val="yellow"/>
        </w:rPr>
        <w:t>X = Valore Massimo di TCS</w:t>
      </w:r>
    </w:p>
    <w:p w14:paraId="00000021" w14:textId="77777777" w:rsidR="00FD74C4" w:rsidRPr="003E3B7C" w:rsidRDefault="001021A2" w:rsidP="003E3B7C">
      <w:pPr>
        <w:widowControl w:val="0"/>
        <w:pBdr>
          <w:top w:val="nil"/>
          <w:left w:val="nil"/>
          <w:bottom w:val="nil"/>
          <w:right w:val="nil"/>
          <w:between w:val="nil"/>
        </w:pBdr>
        <w:ind w:left="708"/>
        <w:jc w:val="both"/>
        <w:rPr>
          <w:color w:val="000000"/>
          <w:sz w:val="22"/>
          <w:szCs w:val="22"/>
          <w:highlight w:val="yellow"/>
        </w:rPr>
      </w:pPr>
      <w:r w:rsidRPr="003E3B7C">
        <w:rPr>
          <w:color w:val="000000"/>
          <w:sz w:val="22"/>
          <w:szCs w:val="22"/>
          <w:highlight w:val="yellow"/>
        </w:rPr>
        <w:t>TPC = Totale della produzione cond</w:t>
      </w:r>
      <w:r w:rsidRPr="003E3B7C">
        <w:rPr>
          <w:color w:val="000000"/>
          <w:sz w:val="22"/>
          <w:szCs w:val="22"/>
          <w:highlight w:val="yellow"/>
        </w:rPr>
        <w:t>ivisa (cioè energia consumata nelle stesse ore di produzione degli impianti della Comunità o convenzionati con la Comunità).</w:t>
      </w:r>
    </w:p>
    <w:p w14:paraId="00000022" w14:textId="77777777" w:rsidR="00FD74C4" w:rsidRPr="003E3B7C" w:rsidRDefault="001021A2" w:rsidP="003E3B7C">
      <w:pPr>
        <w:widowControl w:val="0"/>
        <w:pBdr>
          <w:top w:val="nil"/>
          <w:left w:val="nil"/>
          <w:bottom w:val="nil"/>
          <w:right w:val="nil"/>
          <w:between w:val="nil"/>
        </w:pBdr>
        <w:ind w:left="708"/>
        <w:jc w:val="both"/>
        <w:rPr>
          <w:color w:val="000000"/>
          <w:sz w:val="22"/>
          <w:szCs w:val="22"/>
        </w:rPr>
      </w:pPr>
      <w:r w:rsidRPr="003E3B7C">
        <w:rPr>
          <w:color w:val="000000"/>
          <w:sz w:val="22"/>
          <w:szCs w:val="22"/>
          <w:highlight w:val="yellow"/>
        </w:rPr>
        <w:t xml:space="preserve">I dati di TCS e TPC potranno essere acquisiti anche tramite contatori installati direttamente dalla Comunità Energetica al fine di </w:t>
      </w:r>
      <w:r w:rsidRPr="003E3B7C">
        <w:rPr>
          <w:color w:val="000000"/>
          <w:sz w:val="22"/>
          <w:szCs w:val="22"/>
          <w:highlight w:val="yellow"/>
        </w:rPr>
        <w:t>calcolare il riparto interno</w:t>
      </w:r>
      <w:r w:rsidRPr="003E3B7C">
        <w:rPr>
          <w:color w:val="000000"/>
          <w:sz w:val="22"/>
          <w:szCs w:val="22"/>
        </w:rPr>
        <w:t>].</w:t>
      </w:r>
    </w:p>
    <w:p w14:paraId="00000023" w14:textId="758E182D" w:rsidR="00FD74C4" w:rsidRDefault="001021A2" w:rsidP="007947DB">
      <w:pPr>
        <w:widowControl w:val="0"/>
        <w:pBdr>
          <w:top w:val="nil"/>
          <w:left w:val="nil"/>
          <w:bottom w:val="nil"/>
          <w:right w:val="nil"/>
          <w:between w:val="nil"/>
        </w:pBdr>
        <w:jc w:val="both"/>
        <w:rPr>
          <w:color w:val="000000"/>
          <w:sz w:val="22"/>
          <w:szCs w:val="22"/>
        </w:rPr>
      </w:pPr>
      <w:r w:rsidRPr="003E3B7C">
        <w:rPr>
          <w:color w:val="000000"/>
          <w:sz w:val="22"/>
          <w:szCs w:val="22"/>
        </w:rPr>
        <w:t>La Comunità provvederà al termine di ciascun semestre (n) al calcolo del Contributo alla Riduzione dei Costi Energetici spettante a ciascun Socio e a comunicarlo al Socio medesimo. L’importo del Contributo alla Riduzione dei Costi verrà restituito al Socio</w:t>
      </w:r>
      <w:r w:rsidRPr="003E3B7C">
        <w:rPr>
          <w:color w:val="000000"/>
          <w:sz w:val="22"/>
          <w:szCs w:val="22"/>
        </w:rPr>
        <w:t xml:space="preserve"> tramite versamento dalla Comunità al Socio entro 45 giorni dalla fine di ciascun semestre (n) in conformità</w:t>
      </w:r>
      <w:r w:rsidR="007947DB">
        <w:rPr>
          <w:color w:val="000000"/>
          <w:sz w:val="22"/>
          <w:szCs w:val="22"/>
        </w:rPr>
        <w:t xml:space="preserve"> al regime fiscale applicabile.</w:t>
      </w:r>
    </w:p>
    <w:p w14:paraId="67426504" w14:textId="77777777" w:rsidR="007947DB" w:rsidRPr="003E3B7C" w:rsidRDefault="007947DB" w:rsidP="007947DB">
      <w:pPr>
        <w:widowControl w:val="0"/>
        <w:pBdr>
          <w:top w:val="nil"/>
          <w:left w:val="nil"/>
          <w:bottom w:val="nil"/>
          <w:right w:val="nil"/>
          <w:between w:val="nil"/>
        </w:pBdr>
        <w:jc w:val="both"/>
        <w:rPr>
          <w:sz w:val="22"/>
          <w:szCs w:val="22"/>
        </w:rPr>
      </w:pPr>
    </w:p>
    <w:p w14:paraId="7C52CADA" w14:textId="3F26D243" w:rsidR="007947DB" w:rsidRDefault="007947DB" w:rsidP="003E3B7C">
      <w:pPr>
        <w:widowControl w:val="0"/>
        <w:pBdr>
          <w:top w:val="nil"/>
          <w:left w:val="nil"/>
          <w:bottom w:val="nil"/>
          <w:right w:val="nil"/>
          <w:between w:val="nil"/>
        </w:pBdr>
        <w:ind w:left="105"/>
        <w:jc w:val="center"/>
        <w:rPr>
          <w:b/>
          <w:color w:val="000000"/>
          <w:sz w:val="22"/>
          <w:szCs w:val="22"/>
        </w:rPr>
      </w:pPr>
      <w:r>
        <w:rPr>
          <w:b/>
          <w:color w:val="000000"/>
          <w:sz w:val="22"/>
          <w:szCs w:val="22"/>
        </w:rPr>
        <w:t>Articolo 4</w:t>
      </w:r>
    </w:p>
    <w:p w14:paraId="00000024" w14:textId="4F5D3AC4" w:rsidR="00FD74C4" w:rsidRDefault="001021A2" w:rsidP="003E3B7C">
      <w:pPr>
        <w:widowControl w:val="0"/>
        <w:pBdr>
          <w:top w:val="nil"/>
          <w:left w:val="nil"/>
          <w:bottom w:val="nil"/>
          <w:right w:val="nil"/>
          <w:between w:val="nil"/>
        </w:pBdr>
        <w:ind w:left="105"/>
        <w:jc w:val="center"/>
        <w:rPr>
          <w:b/>
          <w:color w:val="000000"/>
          <w:sz w:val="22"/>
          <w:szCs w:val="22"/>
        </w:rPr>
      </w:pPr>
      <w:r w:rsidRPr="003E3B7C">
        <w:rPr>
          <w:b/>
          <w:color w:val="000000"/>
          <w:sz w:val="22"/>
          <w:szCs w:val="22"/>
        </w:rPr>
        <w:t>Adozione</w:t>
      </w:r>
    </w:p>
    <w:p w14:paraId="46A456A8" w14:textId="77777777" w:rsidR="007947DB" w:rsidRPr="007947DB" w:rsidRDefault="007947DB" w:rsidP="003E3B7C">
      <w:pPr>
        <w:widowControl w:val="0"/>
        <w:pBdr>
          <w:top w:val="nil"/>
          <w:left w:val="nil"/>
          <w:bottom w:val="nil"/>
          <w:right w:val="nil"/>
          <w:between w:val="nil"/>
        </w:pBdr>
        <w:ind w:left="105"/>
        <w:jc w:val="center"/>
        <w:rPr>
          <w:color w:val="000000"/>
          <w:sz w:val="22"/>
          <w:szCs w:val="22"/>
        </w:rPr>
      </w:pPr>
    </w:p>
    <w:p w14:paraId="00000025" w14:textId="77777777" w:rsidR="00FD74C4" w:rsidRPr="003E3B7C" w:rsidRDefault="001021A2" w:rsidP="007947DB">
      <w:pPr>
        <w:widowControl w:val="0"/>
        <w:pBdr>
          <w:top w:val="nil"/>
          <w:left w:val="nil"/>
          <w:bottom w:val="nil"/>
          <w:right w:val="nil"/>
          <w:between w:val="nil"/>
        </w:pBdr>
        <w:jc w:val="both"/>
        <w:rPr>
          <w:sz w:val="22"/>
          <w:szCs w:val="22"/>
        </w:rPr>
      </w:pPr>
      <w:r w:rsidRPr="003E3B7C">
        <w:rPr>
          <w:color w:val="000000"/>
          <w:sz w:val="22"/>
          <w:szCs w:val="22"/>
        </w:rPr>
        <w:t>Il presente Regolamento è stato adottato nella seduta […].</w:t>
      </w:r>
    </w:p>
    <w:p w14:paraId="00000028" w14:textId="20E72560" w:rsidR="00FD74C4" w:rsidRPr="003E3B7C" w:rsidRDefault="001021A2" w:rsidP="003E3B7C">
      <w:pPr>
        <w:widowControl w:val="0"/>
        <w:pBdr>
          <w:top w:val="nil"/>
          <w:left w:val="nil"/>
          <w:bottom w:val="nil"/>
          <w:right w:val="nil"/>
          <w:between w:val="nil"/>
        </w:pBdr>
        <w:jc w:val="both"/>
        <w:rPr>
          <w:color w:val="000000"/>
          <w:sz w:val="22"/>
          <w:szCs w:val="22"/>
        </w:rPr>
      </w:pPr>
      <w:r w:rsidRPr="003E3B7C">
        <w:rPr>
          <w:color w:val="000000"/>
          <w:sz w:val="22"/>
          <w:szCs w:val="22"/>
        </w:rPr>
        <w:t>I Produttori non Soci i cui impianti sono detenuti dalla Comunità per le finalità di cui all’art. 42bis, DL 162/2019 sottoscrivono il presente Regolamento per accettazione espressa delle clausole in esso contenute.</w:t>
      </w:r>
    </w:p>
    <w:sectPr w:rsidR="00FD74C4" w:rsidRPr="003E3B7C">
      <w:pgSz w:w="11907" w:h="16840"/>
      <w:pgMar w:top="1418"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EFE"/>
    <w:multiLevelType w:val="multilevel"/>
    <w:tmpl w:val="4A0E4B4A"/>
    <w:lvl w:ilvl="0">
      <w:start w:val="1"/>
      <w:numFmt w:val="upperLetter"/>
      <w:lvlText w:val="%1)"/>
      <w:lvlJc w:val="left"/>
      <w:pPr>
        <w:ind w:left="825" w:hanging="8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545" w:hanging="154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265" w:hanging="22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985" w:hanging="298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705" w:hanging="370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425" w:hanging="44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145" w:hanging="514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865" w:hanging="58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585" w:hanging="658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17026828"/>
    <w:multiLevelType w:val="hybridMultilevel"/>
    <w:tmpl w:val="4BB83742"/>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9C1853"/>
    <w:multiLevelType w:val="hybridMultilevel"/>
    <w:tmpl w:val="56903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D6621D"/>
    <w:multiLevelType w:val="multilevel"/>
    <w:tmpl w:val="6AB41864"/>
    <w:lvl w:ilvl="0">
      <w:start w:val="1"/>
      <w:numFmt w:val="decimal"/>
      <w:lvlText w:val="%1."/>
      <w:lvlJc w:val="left"/>
      <w:pPr>
        <w:ind w:left="465" w:hanging="4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185" w:hanging="118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905" w:hanging="190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625" w:hanging="26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345" w:hanging="334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065" w:hanging="40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785" w:hanging="478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505" w:hanging="550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225" w:hanging="62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20D77E7D"/>
    <w:multiLevelType w:val="hybridMultilevel"/>
    <w:tmpl w:val="F8A0B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2D05CD"/>
    <w:multiLevelType w:val="multilevel"/>
    <w:tmpl w:val="69460FC6"/>
    <w:lvl w:ilvl="0">
      <w:start w:val="1"/>
      <w:numFmt w:val="decimal"/>
      <w:lvlText w:val="%1."/>
      <w:lvlJc w:val="left"/>
      <w:pPr>
        <w:ind w:left="465" w:hanging="4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185" w:hanging="118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905" w:hanging="190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625" w:hanging="26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345" w:hanging="334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065" w:hanging="40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785" w:hanging="478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505" w:hanging="550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225" w:hanging="62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 w15:restartNumberingAfterBreak="0">
    <w:nsid w:val="35BE7839"/>
    <w:multiLevelType w:val="hybridMultilevel"/>
    <w:tmpl w:val="F05ED0E2"/>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A10EC7"/>
    <w:multiLevelType w:val="multilevel"/>
    <w:tmpl w:val="5434E09C"/>
    <w:lvl w:ilvl="0">
      <w:start w:val="1"/>
      <w:numFmt w:val="decimal"/>
      <w:lvlText w:val="%1."/>
      <w:lvlJc w:val="left"/>
      <w:pPr>
        <w:ind w:left="465" w:hanging="4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185" w:hanging="118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905" w:hanging="190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625" w:hanging="26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345" w:hanging="334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065" w:hanging="40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785" w:hanging="478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505" w:hanging="550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225" w:hanging="62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8" w15:restartNumberingAfterBreak="0">
    <w:nsid w:val="54601DD7"/>
    <w:multiLevelType w:val="multilevel"/>
    <w:tmpl w:val="CDF02F84"/>
    <w:lvl w:ilvl="0">
      <w:start w:val="1"/>
      <w:numFmt w:val="decimal"/>
      <w:lvlText w:val="%1."/>
      <w:lvlJc w:val="left"/>
      <w:pPr>
        <w:ind w:left="468" w:hanging="46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188" w:hanging="118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908" w:hanging="190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628" w:hanging="26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348" w:hanging="334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068" w:hanging="406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788" w:hanging="478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508" w:hanging="550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228" w:hanging="62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9" w15:restartNumberingAfterBreak="0">
    <w:nsid w:val="5B1A43F8"/>
    <w:multiLevelType w:val="multilevel"/>
    <w:tmpl w:val="8670EAE8"/>
    <w:lvl w:ilvl="0">
      <w:start w:val="1"/>
      <w:numFmt w:val="lowerRoman"/>
      <w:lvlText w:val="(%1)"/>
      <w:lvlJc w:val="left"/>
      <w:pPr>
        <w:ind w:left="1428" w:hanging="14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788" w:hanging="178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08" w:hanging="250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28" w:hanging="32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48" w:hanging="394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68" w:hanging="466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388" w:hanging="538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08" w:hanging="610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28" w:hanging="68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 w15:restartNumberingAfterBreak="0">
    <w:nsid w:val="5D607745"/>
    <w:multiLevelType w:val="multilevel"/>
    <w:tmpl w:val="CDACC9D0"/>
    <w:lvl w:ilvl="0">
      <w:start w:val="1"/>
      <w:numFmt w:val="lowerRoman"/>
      <w:lvlText w:val="(%1)"/>
      <w:lvlJc w:val="left"/>
      <w:pPr>
        <w:ind w:left="1428" w:hanging="14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788" w:hanging="178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08" w:hanging="250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28" w:hanging="32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48" w:hanging="394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68" w:hanging="466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388" w:hanging="538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08" w:hanging="610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28" w:hanging="68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8"/>
  </w:num>
  <w:num w:numId="2">
    <w:abstractNumId w:val="5"/>
  </w:num>
  <w:num w:numId="3">
    <w:abstractNumId w:val="7"/>
  </w:num>
  <w:num w:numId="4">
    <w:abstractNumId w:val="3"/>
  </w:num>
  <w:num w:numId="5">
    <w:abstractNumId w:val="0"/>
  </w:num>
  <w:num w:numId="6">
    <w:abstractNumId w:val="10"/>
  </w:num>
  <w:num w:numId="7">
    <w:abstractNumId w:val="9"/>
  </w:num>
  <w:num w:numId="8">
    <w:abstractNumId w:val="2"/>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C4"/>
    <w:rsid w:val="00093586"/>
    <w:rsid w:val="001021A2"/>
    <w:rsid w:val="003E3B7C"/>
    <w:rsid w:val="004758E8"/>
    <w:rsid w:val="005B4466"/>
    <w:rsid w:val="007947DB"/>
    <w:rsid w:val="008F5565"/>
    <w:rsid w:val="00FD74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4CA1"/>
  <w15:docId w15:val="{0B709E14-074C-4CC8-8541-A2977E9A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pBdr>
        <w:top w:val="nil"/>
        <w:left w:val="nil"/>
        <w:bottom w:val="nil"/>
        <w:right w:val="nil"/>
        <w:between w:val="nil"/>
      </w:pBdr>
      <w:spacing w:before="240" w:after="60"/>
      <w:outlineLvl w:val="0"/>
    </w:pPr>
    <w:rPr>
      <w:b/>
      <w:sz w:val="32"/>
      <w:szCs w:val="32"/>
    </w:rPr>
  </w:style>
  <w:style w:type="paragraph" w:styleId="Titolo2">
    <w:name w:val="heading 2"/>
    <w:basedOn w:val="Normale"/>
    <w:next w:val="Normale"/>
    <w:pPr>
      <w:keepNext/>
      <w:pBdr>
        <w:top w:val="nil"/>
        <w:left w:val="nil"/>
        <w:bottom w:val="nil"/>
        <w:right w:val="nil"/>
        <w:between w:val="nil"/>
      </w:pBdr>
      <w:spacing w:before="240" w:after="60"/>
      <w:outlineLvl w:val="1"/>
    </w:pPr>
    <w:rPr>
      <w:b/>
      <w:i/>
      <w:sz w:val="28"/>
      <w:szCs w:val="28"/>
    </w:rPr>
  </w:style>
  <w:style w:type="paragraph" w:styleId="Titolo3">
    <w:name w:val="heading 3"/>
    <w:basedOn w:val="Normale"/>
    <w:next w:val="Normale"/>
    <w:pPr>
      <w:keepNext/>
      <w:pBdr>
        <w:top w:val="nil"/>
        <w:left w:val="nil"/>
        <w:bottom w:val="nil"/>
        <w:right w:val="nil"/>
        <w:between w:val="nil"/>
      </w:pBdr>
      <w:spacing w:before="240" w:after="60"/>
      <w:outlineLvl w:val="2"/>
    </w:pPr>
    <w:rPr>
      <w:b/>
      <w:sz w:val="26"/>
      <w:szCs w:val="26"/>
    </w:rPr>
  </w:style>
  <w:style w:type="paragraph" w:styleId="Titolo4">
    <w:name w:val="heading 4"/>
    <w:basedOn w:val="Normale"/>
    <w:next w:val="Normale"/>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pPr>
      <w:pBdr>
        <w:top w:val="nil"/>
        <w:left w:val="nil"/>
        <w:bottom w:val="nil"/>
        <w:right w:val="nil"/>
        <w:between w:val="nil"/>
      </w:pBd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pBdr>
        <w:top w:val="nil"/>
        <w:left w:val="nil"/>
        <w:bottom w:val="nil"/>
        <w:right w:val="nil"/>
        <w:between w:val="nil"/>
      </w:pBdr>
      <w:spacing w:before="240" w:after="60"/>
      <w:jc w:val="center"/>
    </w:pPr>
    <w:rPr>
      <w:b/>
      <w:sz w:val="32"/>
      <w:szCs w:val="32"/>
    </w:rPr>
  </w:style>
  <w:style w:type="paragraph" w:styleId="Sottotitolo">
    <w:name w:val="Subtitle"/>
    <w:basedOn w:val="Normale"/>
    <w:next w:val="Normale"/>
    <w:pPr>
      <w:pBdr>
        <w:top w:val="nil"/>
        <w:left w:val="nil"/>
        <w:bottom w:val="nil"/>
        <w:right w:val="nil"/>
        <w:between w:val="nil"/>
      </w:pBdr>
      <w:spacing w:after="60"/>
      <w:jc w:val="center"/>
    </w:pPr>
  </w:style>
  <w:style w:type="paragraph" w:styleId="Paragrafoelenco">
    <w:name w:val="List Paragraph"/>
    <w:basedOn w:val="Normale"/>
    <w:uiPriority w:val="34"/>
    <w:qFormat/>
    <w:rsid w:val="005B4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1057</Words>
  <Characters>6027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Zaccherotti</cp:lastModifiedBy>
  <cp:revision>3</cp:revision>
  <dcterms:created xsi:type="dcterms:W3CDTF">2022-03-10T13:40:00Z</dcterms:created>
  <dcterms:modified xsi:type="dcterms:W3CDTF">2022-03-10T14:09:00Z</dcterms:modified>
</cp:coreProperties>
</file>